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C2F" w:rsidRDefault="00623C2F">
      <w:pPr>
        <w:pStyle w:val="CommentText"/>
        <w:rPr>
          <w:noProof/>
          <w:szCs w:val="24"/>
          <w:lang w:val="en-US"/>
        </w:rPr>
      </w:pPr>
    </w:p>
    <w:p w:rsidR="00623C2F" w:rsidRDefault="00623C2F">
      <w:pPr>
        <w:pStyle w:val="CommentText"/>
        <w:rPr>
          <w:noProof/>
          <w:szCs w:val="24"/>
          <w:lang w:val="en-US"/>
        </w:rPr>
      </w:pPr>
    </w:p>
    <w:p w:rsidR="00623C2F" w:rsidRDefault="00623C2F">
      <w:pPr>
        <w:pStyle w:val="CommentText"/>
        <w:rPr>
          <w:noProof/>
          <w:szCs w:val="24"/>
          <w:lang w:val="en-US"/>
        </w:rPr>
      </w:pPr>
    </w:p>
    <w:p w:rsidR="00623C2F" w:rsidRDefault="00623C2F">
      <w:pPr>
        <w:pStyle w:val="CommentText"/>
        <w:rPr>
          <w:noProof/>
          <w:szCs w:val="24"/>
          <w:lang w:val="en-US"/>
        </w:rPr>
      </w:pPr>
    </w:p>
    <w:p w:rsidR="00623C2F" w:rsidRDefault="00623C2F">
      <w:pPr>
        <w:pStyle w:val="CommentText"/>
        <w:rPr>
          <w:noProof/>
          <w:szCs w:val="24"/>
          <w:lang w:val="en-US"/>
        </w:rPr>
      </w:pPr>
    </w:p>
    <w:p w:rsidR="00F4367A" w:rsidRDefault="00FD34CA">
      <w:pPr>
        <w:pStyle w:val="CommentText"/>
        <w:rPr>
          <w:noProof/>
          <w:szCs w:val="24"/>
          <w:lang w:val="en-US"/>
        </w:rPr>
      </w:pPr>
      <w:r>
        <w:rPr>
          <w:noProof/>
          <w:szCs w:val="24"/>
          <w:lang w:eastAsia="en-GB"/>
        </w:rPr>
        <mc:AlternateContent>
          <mc:Choice Requires="wps">
            <w:drawing>
              <wp:anchor distT="0" distB="0" distL="114300" distR="114300" simplePos="0" relativeHeight="251657728" behindDoc="0" locked="0" layoutInCell="1" allowOverlap="1" wp14:anchorId="676CFDD2" wp14:editId="5B525068">
                <wp:simplePos x="0" y="0"/>
                <wp:positionH relativeFrom="column">
                  <wp:posOffset>5029200</wp:posOffset>
                </wp:positionH>
                <wp:positionV relativeFrom="paragraph">
                  <wp:posOffset>-683895</wp:posOffset>
                </wp:positionV>
                <wp:extent cx="1143000" cy="1485900"/>
                <wp:effectExtent l="0" t="1905"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6562" w:rsidRDefault="002B6562">
                            <w:r>
                              <w:rPr>
                                <w:noProof/>
                                <w:lang w:eastAsia="en-GB"/>
                              </w:rPr>
                              <w:drawing>
                                <wp:inline distT="0" distB="0" distL="0" distR="0" wp14:anchorId="0ACCE2C3" wp14:editId="7124130D">
                                  <wp:extent cx="935355" cy="1254760"/>
                                  <wp:effectExtent l="0" t="0" r="0" b="254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355" cy="12547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396pt;margin-top:-53.85pt;width:90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" stroked="f">
                <v:textbox>
                  <w:txbxContent>
                    <w:p w:rsidR="002B6562" w:rsidRDefault="002B6562">
                      <w:r>
                        <w:rPr>
                          <w:noProof/>
                          <w:lang w:eastAsia="en-GB"/>
                        </w:rPr>
                        <w:drawing>
                          <wp:inline distT="0" distB="0" distL="0" distR="0" wp14:anchorId="0ACCE2C3" wp14:editId="7124130D">
                            <wp:extent cx="935355" cy="1254760"/>
                            <wp:effectExtent l="0" t="0" r="0" b="254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5355" cy="1254760"/>
                                    </a:xfrm>
                                    <a:prstGeom prst="rect">
                                      <a:avLst/>
                                    </a:prstGeom>
                                    <a:noFill/>
                                    <a:ln>
                                      <a:noFill/>
                                    </a:ln>
                                  </pic:spPr>
                                </pic:pic>
                              </a:graphicData>
                            </a:graphic>
                          </wp:inline>
                        </w:drawing>
                      </w:r>
                    </w:p>
                  </w:txbxContent>
                </v:textbox>
              </v:shape>
            </w:pict>
          </mc:Fallback>
        </mc:AlternateContent>
      </w:r>
    </w:p>
    <w:p w:rsidR="00F4367A" w:rsidRDefault="00F4367A">
      <w:pPr>
        <w:jc w:val="right"/>
        <w:rPr>
          <w:b/>
          <w:bCs/>
        </w:rPr>
      </w:pPr>
    </w:p>
    <w:p w:rsidR="00F4367A" w:rsidRDefault="00F4367A">
      <w:pPr>
        <w:jc w:val="right"/>
      </w:pPr>
    </w:p>
    <w:p w:rsidR="00F4367A" w:rsidRDefault="00F4367A">
      <w:pPr>
        <w:tabs>
          <w:tab w:val="left" w:pos="2160"/>
        </w:tabs>
        <w:rPr>
          <w:b/>
          <w:bCs/>
          <w:sz w:val="32"/>
          <w:u w:val="single"/>
        </w:rPr>
      </w:pPr>
      <w:r>
        <w:rPr>
          <w:b/>
          <w:bCs/>
          <w:sz w:val="32"/>
          <w:u w:val="single"/>
        </w:rPr>
        <w:t xml:space="preserve">                                                                             </w:t>
      </w:r>
    </w:p>
    <w:p w:rsidR="00F4367A" w:rsidRDefault="00F4367A">
      <w:pPr>
        <w:rPr>
          <w:b/>
          <w:bCs/>
        </w:rPr>
      </w:pPr>
    </w:p>
    <w:p w:rsidR="00F4367A" w:rsidRDefault="00F4367A">
      <w:pPr>
        <w:tabs>
          <w:tab w:val="left" w:pos="2160"/>
        </w:tabs>
        <w:rPr>
          <w:rFonts w:cs="Arial"/>
          <w:b/>
          <w:bCs/>
        </w:rPr>
      </w:pPr>
      <w:r>
        <w:rPr>
          <w:rFonts w:cs="Arial"/>
          <w:b/>
          <w:bCs/>
        </w:rPr>
        <w:t>To:</w:t>
      </w:r>
      <w:r w:rsidR="00EA2FDD">
        <w:rPr>
          <w:rFonts w:cs="Arial"/>
          <w:b/>
          <w:bCs/>
        </w:rPr>
        <w:tab/>
      </w:r>
      <w:r>
        <w:rPr>
          <w:rFonts w:cs="Arial"/>
          <w:b/>
          <w:bCs/>
        </w:rPr>
        <w:t>City Executive Board</w:t>
      </w:r>
      <w:r>
        <w:rPr>
          <w:rFonts w:cs="Arial"/>
          <w:b/>
          <w:bCs/>
        </w:rPr>
        <w:tab/>
      </w:r>
    </w:p>
    <w:p w:rsidR="00F4367A" w:rsidRDefault="00F4367A">
      <w:pPr>
        <w:rPr>
          <w:rFonts w:cs="Arial"/>
          <w:b/>
          <w:bCs/>
        </w:rPr>
      </w:pPr>
    </w:p>
    <w:p w:rsidR="00F4367A" w:rsidRDefault="00F4367A">
      <w:pPr>
        <w:tabs>
          <w:tab w:val="left" w:pos="2160"/>
          <w:tab w:val="left" w:pos="6300"/>
          <w:tab w:val="left" w:pos="7380"/>
        </w:tabs>
        <w:rPr>
          <w:rFonts w:cs="Arial"/>
          <w:b/>
          <w:bCs/>
        </w:rPr>
      </w:pPr>
      <w:r>
        <w:rPr>
          <w:rFonts w:cs="Arial"/>
          <w:b/>
          <w:bCs/>
        </w:rPr>
        <w:t>Date:</w:t>
      </w:r>
      <w:r w:rsidR="00EA2FDD">
        <w:rPr>
          <w:rFonts w:cs="Arial"/>
          <w:b/>
          <w:bCs/>
        </w:rPr>
        <w:tab/>
      </w:r>
      <w:r w:rsidR="00AC73FB">
        <w:rPr>
          <w:rFonts w:cs="Arial"/>
          <w:b/>
          <w:bCs/>
        </w:rPr>
        <w:t>15 October 2015</w:t>
      </w:r>
      <w:r>
        <w:rPr>
          <w:rFonts w:cs="Arial"/>
          <w:b/>
          <w:bCs/>
        </w:rPr>
        <w:tab/>
        <w:t xml:space="preserve">       </w:t>
      </w:r>
      <w:r>
        <w:rPr>
          <w:rFonts w:cs="Arial"/>
          <w:b/>
          <w:bCs/>
        </w:rPr>
        <w:tab/>
        <w:t xml:space="preserve">   </w:t>
      </w:r>
      <w:r>
        <w:rPr>
          <w:rFonts w:cs="Arial"/>
          <w:b/>
          <w:bCs/>
        </w:rPr>
        <w:tab/>
      </w:r>
    </w:p>
    <w:p w:rsidR="00F4367A" w:rsidRDefault="00F4367A">
      <w:pPr>
        <w:jc w:val="right"/>
        <w:rPr>
          <w:rFonts w:cs="Arial"/>
          <w:b/>
          <w:bCs/>
        </w:rPr>
      </w:pPr>
    </w:p>
    <w:p w:rsidR="00F4367A" w:rsidRDefault="00F4367A" w:rsidP="002E1757">
      <w:pPr>
        <w:ind w:left="2127" w:hanging="2127"/>
        <w:rPr>
          <w:rFonts w:cs="Arial"/>
          <w:b/>
          <w:bCs/>
        </w:rPr>
      </w:pPr>
      <w:r>
        <w:rPr>
          <w:rFonts w:cs="Arial"/>
          <w:b/>
          <w:bCs/>
        </w:rPr>
        <w:t>Report of:</w:t>
      </w:r>
      <w:r w:rsidR="00EA2FDD">
        <w:rPr>
          <w:rFonts w:cs="Arial"/>
          <w:b/>
          <w:bCs/>
        </w:rPr>
        <w:tab/>
      </w:r>
      <w:r w:rsidR="00EA2FDD">
        <w:rPr>
          <w:rFonts w:cs="Arial"/>
          <w:b/>
          <w:bCs/>
        </w:rPr>
        <w:tab/>
        <w:t>Executive Director</w:t>
      </w:r>
      <w:r>
        <w:rPr>
          <w:rFonts w:cs="Arial"/>
          <w:b/>
          <w:bCs/>
        </w:rPr>
        <w:tab/>
      </w:r>
      <w:r w:rsidR="00AC73FB">
        <w:rPr>
          <w:rFonts w:cs="Arial"/>
          <w:b/>
          <w:bCs/>
        </w:rPr>
        <w:t>of Organisational Development &amp; Corporate Services</w:t>
      </w:r>
    </w:p>
    <w:p w:rsidR="00F4367A" w:rsidRDefault="00F4367A">
      <w:pPr>
        <w:tabs>
          <w:tab w:val="left" w:pos="2160"/>
        </w:tabs>
        <w:rPr>
          <w:rFonts w:cs="Arial"/>
          <w:b/>
          <w:bCs/>
        </w:rPr>
      </w:pPr>
    </w:p>
    <w:p w:rsidR="00F4367A" w:rsidRDefault="00F4367A">
      <w:pPr>
        <w:tabs>
          <w:tab w:val="left" w:pos="2160"/>
        </w:tabs>
        <w:rPr>
          <w:rFonts w:cs="Arial"/>
          <w:b/>
          <w:bCs/>
        </w:rPr>
      </w:pPr>
      <w:r>
        <w:rPr>
          <w:rFonts w:cs="Arial"/>
          <w:b/>
          <w:bCs/>
        </w:rPr>
        <w:t>Title of Report:</w:t>
      </w:r>
      <w:r>
        <w:rPr>
          <w:rFonts w:cs="Arial"/>
          <w:b/>
          <w:bCs/>
        </w:rPr>
        <w:tab/>
      </w:r>
      <w:r w:rsidR="00AC73FB" w:rsidRPr="00AC73FB">
        <w:rPr>
          <w:rFonts w:cs="Arial"/>
          <w:b/>
          <w:bCs/>
        </w:rPr>
        <w:t>Financial Inclusion Strategy – Action Plan Update</w:t>
      </w:r>
    </w:p>
    <w:p w:rsidR="00F4367A" w:rsidRDefault="00F4367A">
      <w:pPr>
        <w:rPr>
          <w:rFonts w:cs="Arial"/>
        </w:rPr>
      </w:pPr>
    </w:p>
    <w:p w:rsidR="00F4367A" w:rsidRDefault="00F4367A">
      <w:pPr>
        <w:pStyle w:val="Heading1"/>
        <w:pBdr>
          <w:top w:val="single" w:sz="4" w:space="1" w:color="auto"/>
          <w:left w:val="single" w:sz="4" w:space="4" w:color="auto"/>
          <w:bottom w:val="single" w:sz="4" w:space="1" w:color="auto"/>
          <w:right w:val="single" w:sz="4" w:space="4" w:color="auto"/>
        </w:pBdr>
        <w:jc w:val="center"/>
        <w:rPr>
          <w:u w:val="single"/>
        </w:rPr>
      </w:pPr>
    </w:p>
    <w:p w:rsidR="00F4367A" w:rsidRDefault="00F4367A">
      <w:pPr>
        <w:pStyle w:val="Heading1"/>
        <w:pBdr>
          <w:top w:val="single" w:sz="4" w:space="1" w:color="auto"/>
          <w:left w:val="single" w:sz="4" w:space="4" w:color="auto"/>
          <w:bottom w:val="single" w:sz="4" w:space="1" w:color="auto"/>
          <w:right w:val="single" w:sz="4" w:space="4" w:color="auto"/>
        </w:pBdr>
        <w:jc w:val="center"/>
        <w:rPr>
          <w:u w:val="single"/>
        </w:rPr>
      </w:pPr>
      <w:r>
        <w:rPr>
          <w:u w:val="single"/>
        </w:rPr>
        <w:t>Summary and Recommendations</w:t>
      </w:r>
    </w:p>
    <w:p w:rsidR="00F4367A" w:rsidRDefault="00F4367A">
      <w:pPr>
        <w:pBdr>
          <w:top w:val="single" w:sz="4" w:space="1" w:color="auto"/>
          <w:left w:val="single" w:sz="4" w:space="4" w:color="auto"/>
          <w:bottom w:val="single" w:sz="4" w:space="1" w:color="auto"/>
          <w:right w:val="single" w:sz="4" w:space="4" w:color="auto"/>
        </w:pBdr>
        <w:rPr>
          <w:rFonts w:cs="Arial"/>
        </w:rPr>
      </w:pPr>
    </w:p>
    <w:p w:rsidR="00F4367A" w:rsidRDefault="00F4367A">
      <w:pPr>
        <w:pBdr>
          <w:top w:val="single" w:sz="4" w:space="1" w:color="auto"/>
          <w:left w:val="single" w:sz="4" w:space="4" w:color="auto"/>
          <w:bottom w:val="single" w:sz="4" w:space="1" w:color="auto"/>
          <w:right w:val="single" w:sz="4" w:space="4" w:color="auto"/>
        </w:pBdr>
        <w:rPr>
          <w:rFonts w:cs="Arial"/>
        </w:rPr>
      </w:pPr>
      <w:r>
        <w:rPr>
          <w:rFonts w:cs="Arial"/>
          <w:b/>
          <w:bCs/>
        </w:rPr>
        <w:t>Purpose of report</w:t>
      </w:r>
      <w:r>
        <w:rPr>
          <w:rFonts w:cs="Arial"/>
        </w:rPr>
        <w:t xml:space="preserve">:  </w:t>
      </w:r>
      <w:r w:rsidR="00AC73FB">
        <w:rPr>
          <w:rFonts w:cs="Arial"/>
        </w:rPr>
        <w:t xml:space="preserve">To update </w:t>
      </w:r>
      <w:r w:rsidR="00C74A2B">
        <w:rPr>
          <w:rFonts w:cs="Arial"/>
        </w:rPr>
        <w:t xml:space="preserve">members on progress with delivery of </w:t>
      </w:r>
      <w:r w:rsidR="00AC73FB">
        <w:rPr>
          <w:rFonts w:cs="Arial"/>
        </w:rPr>
        <w:t xml:space="preserve">the </w:t>
      </w:r>
      <w:r w:rsidR="004828CC">
        <w:rPr>
          <w:rFonts w:cs="Arial"/>
        </w:rPr>
        <w:t xml:space="preserve">Financial Inclusion </w:t>
      </w:r>
      <w:r w:rsidR="00B733C7">
        <w:rPr>
          <w:rFonts w:cs="Arial"/>
        </w:rPr>
        <w:t>Strategy</w:t>
      </w:r>
      <w:r w:rsidR="004828CC">
        <w:rPr>
          <w:rFonts w:cs="Arial"/>
        </w:rPr>
        <w:t xml:space="preserve"> </w:t>
      </w:r>
      <w:r w:rsidR="00AC73FB">
        <w:rPr>
          <w:rFonts w:cs="Arial"/>
        </w:rPr>
        <w:t>Action Plan</w:t>
      </w:r>
      <w:r w:rsidR="00C74A2B">
        <w:rPr>
          <w:rFonts w:cs="Arial"/>
        </w:rPr>
        <w:t xml:space="preserve"> and seek agreement to an update of the Action Plan</w:t>
      </w:r>
      <w:r w:rsidR="00AC73FB">
        <w:rPr>
          <w:rFonts w:cs="Arial"/>
        </w:rPr>
        <w:t>.</w:t>
      </w:r>
    </w:p>
    <w:p w:rsidR="00F4367A" w:rsidRDefault="00F4367A">
      <w:pPr>
        <w:pBdr>
          <w:top w:val="single" w:sz="4" w:space="1" w:color="auto"/>
          <w:left w:val="single" w:sz="4" w:space="4" w:color="auto"/>
          <w:bottom w:val="single" w:sz="4" w:space="1" w:color="auto"/>
          <w:right w:val="single" w:sz="4" w:space="4" w:color="auto"/>
        </w:pBd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F4367A" w:rsidRDefault="00623C2F">
      <w:pPr>
        <w:pStyle w:val="Heading1"/>
        <w:pBdr>
          <w:top w:val="single" w:sz="4" w:space="1" w:color="auto"/>
          <w:left w:val="single" w:sz="4" w:space="4" w:color="auto"/>
          <w:bottom w:val="single" w:sz="4" w:space="1" w:color="auto"/>
          <w:right w:val="single" w:sz="4" w:space="4" w:color="auto"/>
        </w:pBdr>
        <w:tabs>
          <w:tab w:val="left" w:pos="3062"/>
        </w:tabs>
        <w:rPr>
          <w:bCs w:val="0"/>
        </w:rPr>
      </w:pPr>
      <w:r>
        <w:rPr>
          <w:bCs w:val="0"/>
        </w:rPr>
        <w:t xml:space="preserve">Key decision </w:t>
      </w:r>
      <w:r w:rsidR="00AC73FB" w:rsidRPr="00AC73FB">
        <w:rPr>
          <w:b w:val="0"/>
          <w:bCs w:val="0"/>
        </w:rPr>
        <w:t>Yes</w:t>
      </w:r>
      <w:r w:rsidR="00F4367A" w:rsidRPr="00AC73FB">
        <w:rPr>
          <w:bCs w:val="0"/>
        </w:rPr>
        <w:t xml:space="preserve"> </w:t>
      </w:r>
    </w:p>
    <w:p w:rsidR="00F4367A" w:rsidRDefault="00F4367A">
      <w:pPr>
        <w:pBdr>
          <w:top w:val="single" w:sz="4" w:space="1" w:color="auto"/>
          <w:left w:val="single" w:sz="4" w:space="4" w:color="auto"/>
          <w:bottom w:val="single" w:sz="4" w:space="1" w:color="auto"/>
          <w:right w:val="single" w:sz="4" w:space="4" w:color="auto"/>
        </w:pBdr>
        <w:rPr>
          <w:rFonts w:cs="Arial"/>
        </w:rPr>
      </w:pPr>
    </w:p>
    <w:p w:rsidR="00F4367A" w:rsidRDefault="00F4367A">
      <w:pPr>
        <w:pBdr>
          <w:top w:val="single" w:sz="4" w:space="1" w:color="auto"/>
          <w:left w:val="single" w:sz="4" w:space="4" w:color="auto"/>
          <w:bottom w:val="single" w:sz="4" w:space="1" w:color="auto"/>
          <w:right w:val="single" w:sz="4" w:space="4" w:color="auto"/>
        </w:pBdr>
        <w:rPr>
          <w:rFonts w:cs="Arial"/>
          <w:b/>
          <w:bCs/>
        </w:rPr>
      </w:pPr>
      <w:r>
        <w:rPr>
          <w:rFonts w:cs="Arial"/>
          <w:b/>
          <w:bCs/>
        </w:rPr>
        <w:t xml:space="preserve">Executive lead member: </w:t>
      </w:r>
      <w:r w:rsidR="00AC73FB" w:rsidRPr="00C10D71">
        <w:rPr>
          <w:rFonts w:cs="Arial"/>
          <w:bCs/>
        </w:rPr>
        <w:t>Councillor Susan Brown</w:t>
      </w:r>
      <w:r w:rsidR="00616AFC">
        <w:rPr>
          <w:rFonts w:cs="Arial"/>
          <w:bCs/>
        </w:rPr>
        <w:t>, Customer and Corporate Services</w:t>
      </w:r>
    </w:p>
    <w:p w:rsidR="00F4367A" w:rsidRDefault="00F4367A">
      <w:pPr>
        <w:pStyle w:val="Heading1"/>
        <w:pBdr>
          <w:top w:val="single" w:sz="4" w:space="1" w:color="auto"/>
          <w:left w:val="single" w:sz="4" w:space="4" w:color="auto"/>
          <w:bottom w:val="single" w:sz="4" w:space="1" w:color="auto"/>
          <w:right w:val="single" w:sz="4" w:space="4" w:color="auto"/>
        </w:pBdr>
      </w:pPr>
    </w:p>
    <w:p w:rsidR="00F4367A" w:rsidRDefault="00F4367A">
      <w:pPr>
        <w:pBdr>
          <w:top w:val="single" w:sz="4" w:space="1" w:color="auto"/>
          <w:left w:val="single" w:sz="4" w:space="4" w:color="auto"/>
          <w:bottom w:val="single" w:sz="4" w:space="1" w:color="auto"/>
          <w:right w:val="single" w:sz="4" w:space="4" w:color="auto"/>
        </w:pBdr>
        <w:rPr>
          <w:rFonts w:cs="Arial"/>
          <w:b/>
          <w:bCs/>
        </w:rPr>
      </w:pPr>
      <w:r>
        <w:rPr>
          <w:rFonts w:cs="Arial"/>
          <w:b/>
          <w:bCs/>
        </w:rPr>
        <w:t xml:space="preserve">Policy Framework: </w:t>
      </w:r>
      <w:bookmarkStart w:id="0" w:name="_GoBack"/>
      <w:bookmarkEnd w:id="0"/>
    </w:p>
    <w:p w:rsidR="00F4367A" w:rsidRDefault="00F4367A">
      <w:pPr>
        <w:pStyle w:val="Heading1"/>
        <w:pBdr>
          <w:top w:val="single" w:sz="4" w:space="1" w:color="auto"/>
          <w:left w:val="single" w:sz="4" w:space="4" w:color="auto"/>
          <w:bottom w:val="single" w:sz="4" w:space="1" w:color="auto"/>
          <w:right w:val="single" w:sz="4" w:space="4" w:color="auto"/>
        </w:pBdr>
      </w:pPr>
    </w:p>
    <w:p w:rsidR="00722163" w:rsidRDefault="00F4367A">
      <w:pPr>
        <w:pBdr>
          <w:top w:val="single" w:sz="4" w:space="1" w:color="auto"/>
          <w:left w:val="single" w:sz="4" w:space="4" w:color="auto"/>
          <w:bottom w:val="single" w:sz="4" w:space="1" w:color="auto"/>
          <w:right w:val="single" w:sz="4" w:space="4" w:color="auto"/>
        </w:pBdr>
        <w:tabs>
          <w:tab w:val="left" w:pos="3048"/>
        </w:tabs>
        <w:rPr>
          <w:rFonts w:cs="Arial"/>
        </w:rPr>
      </w:pPr>
      <w:r>
        <w:rPr>
          <w:rFonts w:cs="Arial"/>
          <w:b/>
        </w:rPr>
        <w:t xml:space="preserve">Recommendation(s): </w:t>
      </w:r>
      <w:r w:rsidR="006D6131" w:rsidRPr="006D6131">
        <w:rPr>
          <w:rFonts w:cs="Arial"/>
        </w:rPr>
        <w:t>Th</w:t>
      </w:r>
      <w:r w:rsidR="00722163">
        <w:rPr>
          <w:rFonts w:cs="Arial"/>
        </w:rPr>
        <w:t>at th</w:t>
      </w:r>
      <w:r w:rsidR="006D6131" w:rsidRPr="006D6131">
        <w:rPr>
          <w:rFonts w:cs="Arial"/>
        </w:rPr>
        <w:t>e City Executive Board resolves to:</w:t>
      </w:r>
    </w:p>
    <w:p w:rsidR="00722163" w:rsidRPr="00722163" w:rsidRDefault="00C27759" w:rsidP="00722163">
      <w:pPr>
        <w:pStyle w:val="ListParagraph"/>
        <w:numPr>
          <w:ilvl w:val="0"/>
          <w:numId w:val="3"/>
        </w:numPr>
        <w:pBdr>
          <w:top w:val="single" w:sz="4" w:space="1" w:color="auto"/>
          <w:left w:val="single" w:sz="4" w:space="4" w:color="auto"/>
          <w:bottom w:val="single" w:sz="4" w:space="1" w:color="auto"/>
          <w:right w:val="single" w:sz="4" w:space="4" w:color="auto"/>
        </w:pBdr>
        <w:tabs>
          <w:tab w:val="left" w:pos="3048"/>
        </w:tabs>
        <w:rPr>
          <w:rFonts w:cs="Arial"/>
        </w:rPr>
      </w:pPr>
      <w:r w:rsidRPr="00C27759">
        <w:rPr>
          <w:rFonts w:cs="Arial"/>
          <w:b/>
        </w:rPr>
        <w:t>Approve</w:t>
      </w:r>
      <w:r w:rsidR="006D6131" w:rsidRPr="00722163">
        <w:rPr>
          <w:rFonts w:cs="Arial"/>
        </w:rPr>
        <w:t xml:space="preserve"> the updated Financial Inclusion Strategy Action Plan as set out at Appendix 2; and </w:t>
      </w:r>
    </w:p>
    <w:p w:rsidR="00F4367A" w:rsidRPr="00722163" w:rsidRDefault="00722163" w:rsidP="00722163">
      <w:pPr>
        <w:pStyle w:val="ListParagraph"/>
        <w:numPr>
          <w:ilvl w:val="0"/>
          <w:numId w:val="3"/>
        </w:numPr>
        <w:pBdr>
          <w:top w:val="single" w:sz="4" w:space="1" w:color="auto"/>
          <w:left w:val="single" w:sz="4" w:space="4" w:color="auto"/>
          <w:bottom w:val="single" w:sz="4" w:space="1" w:color="auto"/>
          <w:right w:val="single" w:sz="4" w:space="4" w:color="auto"/>
        </w:pBdr>
        <w:tabs>
          <w:tab w:val="left" w:pos="3048"/>
        </w:tabs>
        <w:rPr>
          <w:rFonts w:cs="Arial"/>
        </w:rPr>
      </w:pPr>
      <w:r w:rsidRPr="00C27759">
        <w:rPr>
          <w:rFonts w:cs="Arial"/>
          <w:b/>
        </w:rPr>
        <w:t>D</w:t>
      </w:r>
      <w:r w:rsidR="006D6131" w:rsidRPr="00C27759">
        <w:rPr>
          <w:rFonts w:cs="Arial"/>
          <w:b/>
        </w:rPr>
        <w:t>elegate authority</w:t>
      </w:r>
      <w:r w:rsidR="006D6131" w:rsidRPr="00722163">
        <w:rPr>
          <w:rFonts w:cs="Arial"/>
        </w:rPr>
        <w:t xml:space="preserve"> to the Executive Director, Organisational Development and Corporate Services, in consultation with the Executive Member for Customer and Corporate Services, to further update the Action Plan as necessary</w:t>
      </w:r>
      <w:r w:rsidR="00AC73FB" w:rsidRPr="00722163">
        <w:rPr>
          <w:rFonts w:cs="Arial"/>
        </w:rPr>
        <w:t>.</w:t>
      </w:r>
    </w:p>
    <w:p w:rsidR="00F4367A" w:rsidRDefault="00F4367A">
      <w:pPr>
        <w:pBdr>
          <w:top w:val="single" w:sz="4" w:space="1" w:color="auto"/>
          <w:left w:val="single" w:sz="4" w:space="4" w:color="auto"/>
          <w:bottom w:val="single" w:sz="4" w:space="1" w:color="auto"/>
          <w:right w:val="single" w:sz="4" w:space="4" w:color="auto"/>
        </w:pBdr>
        <w:tabs>
          <w:tab w:val="left" w:pos="3048"/>
        </w:tabs>
        <w:rPr>
          <w:rFonts w:cs="Arial"/>
          <w:b/>
        </w:rPr>
      </w:pPr>
    </w:p>
    <w:p w:rsidR="00F4367A" w:rsidRDefault="00F4367A">
      <w:pPr>
        <w:rPr>
          <w:rFonts w:cs="Arial"/>
        </w:rPr>
      </w:pPr>
    </w:p>
    <w:p w:rsidR="00713675" w:rsidRDefault="00713675">
      <w:pPr>
        <w:rPr>
          <w:rFonts w:cs="Arial"/>
        </w:rPr>
      </w:pPr>
      <w:r w:rsidRPr="007B6E54">
        <w:rPr>
          <w:rFonts w:cs="Arial"/>
          <w:b/>
        </w:rPr>
        <w:t>Appendices</w:t>
      </w:r>
      <w:r>
        <w:rPr>
          <w:rFonts w:cs="Arial"/>
        </w:rPr>
        <w:t xml:space="preserve"> </w:t>
      </w:r>
    </w:p>
    <w:p w:rsidR="00AC73FB" w:rsidRDefault="00AC73FB">
      <w:pPr>
        <w:rPr>
          <w:rFonts w:cs="Arial"/>
        </w:rPr>
      </w:pPr>
      <w:r>
        <w:rPr>
          <w:rFonts w:cs="Arial"/>
        </w:rPr>
        <w:t xml:space="preserve">Appendix 1 </w:t>
      </w:r>
      <w:r w:rsidR="00722163">
        <w:rPr>
          <w:rFonts w:cs="Arial"/>
        </w:rPr>
        <w:tab/>
      </w:r>
      <w:r>
        <w:rPr>
          <w:rFonts w:cs="Arial"/>
        </w:rPr>
        <w:t xml:space="preserve">Review of </w:t>
      </w:r>
      <w:r w:rsidR="00894784">
        <w:rPr>
          <w:rFonts w:cs="Arial"/>
        </w:rPr>
        <w:t>original</w:t>
      </w:r>
      <w:r>
        <w:rPr>
          <w:rFonts w:cs="Arial"/>
        </w:rPr>
        <w:t xml:space="preserve"> Action Plan</w:t>
      </w:r>
    </w:p>
    <w:p w:rsidR="00AC73FB" w:rsidRDefault="00AC73FB">
      <w:pPr>
        <w:rPr>
          <w:rFonts w:cs="Arial"/>
        </w:rPr>
      </w:pPr>
      <w:r>
        <w:rPr>
          <w:rFonts w:cs="Arial"/>
        </w:rPr>
        <w:t xml:space="preserve">Appendix 2 </w:t>
      </w:r>
      <w:r w:rsidR="00722163">
        <w:rPr>
          <w:rFonts w:cs="Arial"/>
        </w:rPr>
        <w:tab/>
      </w:r>
      <w:r w:rsidR="00894784">
        <w:rPr>
          <w:rFonts w:cs="Arial"/>
        </w:rPr>
        <w:t>Revised</w:t>
      </w:r>
      <w:r>
        <w:rPr>
          <w:rFonts w:cs="Arial"/>
        </w:rPr>
        <w:t xml:space="preserve"> Action Plan</w:t>
      </w:r>
    </w:p>
    <w:p w:rsidR="00713675" w:rsidRDefault="007B6E54">
      <w:pPr>
        <w:rPr>
          <w:rFonts w:cs="Arial"/>
        </w:rPr>
      </w:pPr>
      <w:r>
        <w:rPr>
          <w:rFonts w:cs="Arial"/>
        </w:rPr>
        <w:t xml:space="preserve">Appendix </w:t>
      </w:r>
      <w:r w:rsidR="00AC73FB">
        <w:rPr>
          <w:rFonts w:cs="Arial"/>
        </w:rPr>
        <w:t xml:space="preserve">3 </w:t>
      </w:r>
      <w:r w:rsidR="00722163">
        <w:rPr>
          <w:rFonts w:cs="Arial"/>
        </w:rPr>
        <w:tab/>
      </w:r>
      <w:r>
        <w:rPr>
          <w:rFonts w:cs="Arial"/>
        </w:rPr>
        <w:t>Risk Register</w:t>
      </w:r>
    </w:p>
    <w:p w:rsidR="007B6E54" w:rsidRDefault="007B6E54">
      <w:pPr>
        <w:rPr>
          <w:rFonts w:cs="Arial"/>
          <w:i/>
        </w:rPr>
      </w:pPr>
    </w:p>
    <w:p w:rsidR="00C10D71" w:rsidRPr="00C10D71" w:rsidRDefault="00C10D71">
      <w:pPr>
        <w:rPr>
          <w:rFonts w:cs="Arial"/>
          <w:b/>
        </w:rPr>
      </w:pPr>
      <w:r>
        <w:rPr>
          <w:rFonts w:cs="Arial"/>
          <w:b/>
        </w:rPr>
        <w:t>Background</w:t>
      </w:r>
    </w:p>
    <w:p w:rsidR="00B92FC7" w:rsidRPr="00267717" w:rsidRDefault="00C10D71" w:rsidP="00722163">
      <w:pPr>
        <w:pStyle w:val="ListParagraph"/>
        <w:numPr>
          <w:ilvl w:val="0"/>
          <w:numId w:val="2"/>
        </w:numPr>
        <w:ind w:left="567" w:hanging="567"/>
        <w:rPr>
          <w:rFonts w:cs="Arial"/>
        </w:rPr>
      </w:pPr>
      <w:r w:rsidRPr="00267717">
        <w:rPr>
          <w:rFonts w:cs="Arial"/>
        </w:rPr>
        <w:t>The Financial Inclusion Strategy</w:t>
      </w:r>
      <w:r w:rsidR="00894784" w:rsidRPr="00267717">
        <w:rPr>
          <w:rFonts w:cs="Arial"/>
        </w:rPr>
        <w:t xml:space="preserve"> </w:t>
      </w:r>
      <w:r w:rsidR="0067491B" w:rsidRPr="00267717">
        <w:rPr>
          <w:rFonts w:cs="Arial"/>
        </w:rPr>
        <w:t>(FIS)</w:t>
      </w:r>
      <w:r w:rsidRPr="00267717">
        <w:rPr>
          <w:rFonts w:cs="Arial"/>
        </w:rPr>
        <w:t xml:space="preserve"> was adopted by the C</w:t>
      </w:r>
      <w:r w:rsidR="00894784" w:rsidRPr="00267717">
        <w:rPr>
          <w:rFonts w:cs="Arial"/>
        </w:rPr>
        <w:t>ity</w:t>
      </w:r>
      <w:r w:rsidRPr="00267717">
        <w:rPr>
          <w:rFonts w:cs="Arial"/>
        </w:rPr>
        <w:t xml:space="preserve"> Executive Board</w:t>
      </w:r>
      <w:r w:rsidR="002E1757">
        <w:rPr>
          <w:rFonts w:cs="Arial"/>
        </w:rPr>
        <w:t xml:space="preserve"> </w:t>
      </w:r>
      <w:r w:rsidR="0067491B" w:rsidRPr="00267717">
        <w:rPr>
          <w:rFonts w:cs="Arial"/>
        </w:rPr>
        <w:t>(CEB)</w:t>
      </w:r>
      <w:r w:rsidRPr="00267717">
        <w:rPr>
          <w:rFonts w:cs="Arial"/>
        </w:rPr>
        <w:t xml:space="preserve"> on 3 July 2014 for a period of three years. The Strategy incorporated an Action Plan, much of which has been achieved. The Action Plan now requires refreshing to ensure that work continues to </w:t>
      </w:r>
      <w:r w:rsidR="00D96203" w:rsidRPr="00267717">
        <w:rPr>
          <w:rFonts w:cs="Arial"/>
        </w:rPr>
        <w:lastRenderedPageBreak/>
        <w:t>deliver</w:t>
      </w:r>
      <w:r w:rsidRPr="00267717">
        <w:rPr>
          <w:rFonts w:cs="Arial"/>
        </w:rPr>
        <w:t xml:space="preserve"> the objectives </w:t>
      </w:r>
      <w:r w:rsidR="00D96203" w:rsidRPr="00267717">
        <w:rPr>
          <w:rFonts w:cs="Arial"/>
        </w:rPr>
        <w:t xml:space="preserve">under </w:t>
      </w:r>
      <w:r w:rsidRPr="00267717">
        <w:rPr>
          <w:rFonts w:cs="Arial"/>
        </w:rPr>
        <w:t xml:space="preserve">the </w:t>
      </w:r>
      <w:r w:rsidR="00D96203" w:rsidRPr="00267717">
        <w:rPr>
          <w:rFonts w:cs="Arial"/>
        </w:rPr>
        <w:t xml:space="preserve">four </w:t>
      </w:r>
      <w:r w:rsidRPr="00267717">
        <w:rPr>
          <w:rFonts w:cs="Arial"/>
        </w:rPr>
        <w:t>themes of Debt, Income, Housing and Skills.</w:t>
      </w:r>
    </w:p>
    <w:p w:rsidR="00B92FC7" w:rsidRPr="00B92FC7" w:rsidRDefault="00B92FC7" w:rsidP="00722163">
      <w:pPr>
        <w:pStyle w:val="ListParagraph"/>
        <w:ind w:left="567" w:hanging="567"/>
        <w:rPr>
          <w:rFonts w:cs="Arial"/>
        </w:rPr>
      </w:pPr>
    </w:p>
    <w:p w:rsidR="00C10D71" w:rsidRPr="001B7C97" w:rsidRDefault="00C10D71" w:rsidP="00722163">
      <w:pPr>
        <w:pStyle w:val="ListParagraph"/>
        <w:numPr>
          <w:ilvl w:val="0"/>
          <w:numId w:val="2"/>
        </w:numPr>
        <w:ind w:left="567" w:hanging="567"/>
        <w:rPr>
          <w:rFonts w:cs="Arial"/>
        </w:rPr>
      </w:pPr>
      <w:r w:rsidRPr="001B7C97">
        <w:rPr>
          <w:rFonts w:cs="Arial"/>
        </w:rPr>
        <w:t>The nature of Financial Inclusion</w:t>
      </w:r>
      <w:r w:rsidR="00D96203" w:rsidRPr="001B7C97">
        <w:rPr>
          <w:rFonts w:cs="Arial"/>
        </w:rPr>
        <w:t xml:space="preserve"> </w:t>
      </w:r>
      <w:r w:rsidR="0067491B" w:rsidRPr="001B7C97">
        <w:rPr>
          <w:rFonts w:cs="Arial"/>
        </w:rPr>
        <w:t>(FI)</w:t>
      </w:r>
      <w:r w:rsidRPr="001B7C97">
        <w:rPr>
          <w:rFonts w:cs="Arial"/>
        </w:rPr>
        <w:t xml:space="preserve"> work is that it is </w:t>
      </w:r>
      <w:r w:rsidR="00616763" w:rsidRPr="001B7C97">
        <w:rPr>
          <w:rFonts w:cs="Arial"/>
        </w:rPr>
        <w:t>on-going</w:t>
      </w:r>
      <w:r w:rsidRPr="001B7C97">
        <w:rPr>
          <w:rFonts w:cs="Arial"/>
        </w:rPr>
        <w:t xml:space="preserve"> and long term in nature. Although many actions have been completed, these lead on to further work. This means that m</w:t>
      </w:r>
      <w:r w:rsidR="00D96203" w:rsidRPr="001B7C97">
        <w:rPr>
          <w:rFonts w:cs="Arial"/>
        </w:rPr>
        <w:t>any</w:t>
      </w:r>
      <w:r w:rsidRPr="001B7C97">
        <w:rPr>
          <w:rFonts w:cs="Arial"/>
        </w:rPr>
        <w:t xml:space="preserve"> of the </w:t>
      </w:r>
      <w:r w:rsidR="00D96203" w:rsidRPr="001B7C97">
        <w:rPr>
          <w:rFonts w:cs="Arial"/>
        </w:rPr>
        <w:t>objectives within</w:t>
      </w:r>
      <w:r w:rsidRPr="001B7C97">
        <w:rPr>
          <w:rFonts w:cs="Arial"/>
        </w:rPr>
        <w:t xml:space="preserve"> the </w:t>
      </w:r>
      <w:r w:rsidR="00D96203" w:rsidRPr="001B7C97">
        <w:rPr>
          <w:rFonts w:cs="Arial"/>
        </w:rPr>
        <w:t>original</w:t>
      </w:r>
      <w:r w:rsidRPr="001B7C97">
        <w:rPr>
          <w:rFonts w:cs="Arial"/>
        </w:rPr>
        <w:t xml:space="preserve"> Action Plan </w:t>
      </w:r>
      <w:r w:rsidR="00D96203" w:rsidRPr="001B7C97">
        <w:rPr>
          <w:rFonts w:cs="Arial"/>
        </w:rPr>
        <w:t>are</w:t>
      </w:r>
      <w:r w:rsidRPr="001B7C97">
        <w:rPr>
          <w:rFonts w:cs="Arial"/>
        </w:rPr>
        <w:t xml:space="preserve"> reflected in the second</w:t>
      </w:r>
      <w:r w:rsidR="009C420E" w:rsidRPr="001B7C97">
        <w:rPr>
          <w:rFonts w:cs="Arial"/>
        </w:rPr>
        <w:t xml:space="preserve"> iteration of the P</w:t>
      </w:r>
      <w:r w:rsidRPr="001B7C97">
        <w:rPr>
          <w:rFonts w:cs="Arial"/>
        </w:rPr>
        <w:t>lan.</w:t>
      </w:r>
      <w:r w:rsidR="001B7C97" w:rsidRPr="001B7C97">
        <w:rPr>
          <w:rFonts w:cs="Arial"/>
        </w:rPr>
        <w:t xml:space="preserve"> </w:t>
      </w:r>
      <w:r w:rsidR="009C420E" w:rsidRPr="001B7C97">
        <w:rPr>
          <w:rFonts w:cs="Arial"/>
        </w:rPr>
        <w:t xml:space="preserve">The revised </w:t>
      </w:r>
      <w:r w:rsidRPr="001B7C97">
        <w:rPr>
          <w:rFonts w:cs="Arial"/>
        </w:rPr>
        <w:t>Action Plan builds on work in the original plan, and incorporates new learning, in particular the recommendations from research conducted by the Centre for Economic and Social Inclusion (CESI)</w:t>
      </w:r>
      <w:r w:rsidR="009C420E" w:rsidRPr="001B7C97">
        <w:rPr>
          <w:rFonts w:cs="Arial"/>
        </w:rPr>
        <w:t xml:space="preserve"> in 2014</w:t>
      </w:r>
      <w:r w:rsidRPr="001B7C97">
        <w:rPr>
          <w:rFonts w:cs="Arial"/>
        </w:rPr>
        <w:t xml:space="preserve">.  </w:t>
      </w:r>
    </w:p>
    <w:p w:rsidR="001B7C97" w:rsidRPr="009C420E" w:rsidRDefault="001B7C97" w:rsidP="00722163">
      <w:pPr>
        <w:pStyle w:val="ListParagraph"/>
        <w:ind w:left="567" w:hanging="567"/>
        <w:rPr>
          <w:rFonts w:cs="Arial"/>
        </w:rPr>
      </w:pPr>
    </w:p>
    <w:p w:rsidR="00616763" w:rsidRDefault="00C10D71" w:rsidP="00722163">
      <w:pPr>
        <w:pStyle w:val="ListParagraph"/>
        <w:numPr>
          <w:ilvl w:val="0"/>
          <w:numId w:val="2"/>
        </w:numPr>
        <w:ind w:left="567" w:hanging="567"/>
        <w:rPr>
          <w:rFonts w:cs="Arial"/>
        </w:rPr>
      </w:pPr>
      <w:r w:rsidRPr="00B92FC7">
        <w:rPr>
          <w:rFonts w:cs="Arial"/>
        </w:rPr>
        <w:t xml:space="preserve">Appendix 1 provides an update on all the actions </w:t>
      </w:r>
      <w:r w:rsidR="009C420E">
        <w:rPr>
          <w:rFonts w:cs="Arial"/>
        </w:rPr>
        <w:t xml:space="preserve">within </w:t>
      </w:r>
      <w:r w:rsidRPr="00B92FC7">
        <w:rPr>
          <w:rFonts w:cs="Arial"/>
        </w:rPr>
        <w:t>the original action plan</w:t>
      </w:r>
      <w:r w:rsidR="00DB7C10">
        <w:rPr>
          <w:rFonts w:cs="Arial"/>
        </w:rPr>
        <w:t xml:space="preserve"> and</w:t>
      </w:r>
      <w:r w:rsidRPr="00B92FC7">
        <w:rPr>
          <w:rFonts w:cs="Arial"/>
        </w:rPr>
        <w:t xml:space="preserve"> explains if and how these actions are being carried forward into the revised Plan. </w:t>
      </w:r>
    </w:p>
    <w:p w:rsidR="007C4038" w:rsidRPr="007C4038" w:rsidRDefault="007C4038" w:rsidP="00722163">
      <w:pPr>
        <w:pStyle w:val="ListParagraph"/>
        <w:ind w:left="567" w:hanging="567"/>
        <w:rPr>
          <w:rFonts w:cs="Arial"/>
        </w:rPr>
      </w:pPr>
    </w:p>
    <w:p w:rsidR="007C4038" w:rsidRPr="00B92FC7" w:rsidRDefault="007C4038" w:rsidP="00722163">
      <w:pPr>
        <w:pStyle w:val="ListParagraph"/>
        <w:numPr>
          <w:ilvl w:val="0"/>
          <w:numId w:val="2"/>
        </w:numPr>
        <w:ind w:left="567" w:hanging="567"/>
        <w:rPr>
          <w:rFonts w:cs="Arial"/>
        </w:rPr>
      </w:pPr>
      <w:r w:rsidRPr="001B7C97">
        <w:rPr>
          <w:rFonts w:cs="Arial"/>
        </w:rPr>
        <w:t xml:space="preserve">Of the 37 actions in the </w:t>
      </w:r>
      <w:r w:rsidR="00DB7C10" w:rsidRPr="001B7C97">
        <w:rPr>
          <w:rFonts w:cs="Arial"/>
        </w:rPr>
        <w:t>original</w:t>
      </w:r>
      <w:r w:rsidRPr="001B7C97">
        <w:rPr>
          <w:rFonts w:cs="Arial"/>
        </w:rPr>
        <w:t xml:space="preserve"> Plan, 2</w:t>
      </w:r>
      <w:r w:rsidR="00FA054B">
        <w:rPr>
          <w:rFonts w:cs="Arial"/>
        </w:rPr>
        <w:t>4</w:t>
      </w:r>
      <w:r w:rsidRPr="001B7C97">
        <w:rPr>
          <w:rFonts w:cs="Arial"/>
        </w:rPr>
        <w:t xml:space="preserve"> have been completed, 1</w:t>
      </w:r>
      <w:r w:rsidR="00FA054B">
        <w:rPr>
          <w:rFonts w:cs="Arial"/>
        </w:rPr>
        <w:t>1</w:t>
      </w:r>
      <w:r w:rsidR="001B7C97" w:rsidRPr="001B7C97">
        <w:rPr>
          <w:rFonts w:cs="Arial"/>
        </w:rPr>
        <w:t xml:space="preserve"> are in progress and</w:t>
      </w:r>
      <w:r w:rsidRPr="001B7C97">
        <w:rPr>
          <w:rFonts w:cs="Arial"/>
        </w:rPr>
        <w:t xml:space="preserve"> have been carried forward into the revised Action Plan, and one has not been delivered, and has been amended in the revised Action Plan. </w:t>
      </w:r>
      <w:r w:rsidR="001B7C97" w:rsidRPr="001B7C97">
        <w:rPr>
          <w:rFonts w:cs="Arial"/>
        </w:rPr>
        <w:t xml:space="preserve">This last action related to the training of customer contact staff to recognise signs of financial exclusion and to make appropriate referrals for support. Time pressures in the contact centre mean that this is not practical. As such, the action has been revised to train other frontline staff </w:t>
      </w:r>
      <w:r w:rsidR="001B7C97">
        <w:rPr>
          <w:rFonts w:cs="Arial"/>
        </w:rPr>
        <w:t>likely to come into contact with people who are financially excluded.</w:t>
      </w:r>
    </w:p>
    <w:p w:rsidR="00616763" w:rsidRDefault="00616763" w:rsidP="00722163">
      <w:pPr>
        <w:ind w:left="567" w:hanging="567"/>
        <w:rPr>
          <w:rFonts w:cs="Arial"/>
        </w:rPr>
      </w:pPr>
    </w:p>
    <w:p w:rsidR="00C10D71" w:rsidRPr="00B92FC7" w:rsidRDefault="00C10D71" w:rsidP="00722163">
      <w:pPr>
        <w:pStyle w:val="ListParagraph"/>
        <w:numPr>
          <w:ilvl w:val="0"/>
          <w:numId w:val="2"/>
        </w:numPr>
        <w:ind w:left="567" w:hanging="567"/>
        <w:rPr>
          <w:rFonts w:cs="Arial"/>
        </w:rPr>
      </w:pPr>
      <w:r w:rsidRPr="00B92FC7">
        <w:rPr>
          <w:rFonts w:cs="Arial"/>
        </w:rPr>
        <w:t xml:space="preserve">The </w:t>
      </w:r>
      <w:r w:rsidR="005E7B6D">
        <w:rPr>
          <w:rFonts w:cs="Arial"/>
        </w:rPr>
        <w:t>revised A</w:t>
      </w:r>
      <w:r w:rsidRPr="00B92FC7">
        <w:rPr>
          <w:rFonts w:cs="Arial"/>
        </w:rPr>
        <w:t xml:space="preserve">ction </w:t>
      </w:r>
      <w:r w:rsidR="005E7B6D">
        <w:rPr>
          <w:rFonts w:cs="Arial"/>
        </w:rPr>
        <w:t>P</w:t>
      </w:r>
      <w:r w:rsidRPr="00B92FC7">
        <w:rPr>
          <w:rFonts w:cs="Arial"/>
        </w:rPr>
        <w:t xml:space="preserve">lan </w:t>
      </w:r>
      <w:r w:rsidR="00616763" w:rsidRPr="00B92FC7">
        <w:rPr>
          <w:rFonts w:cs="Arial"/>
        </w:rPr>
        <w:t xml:space="preserve">is </w:t>
      </w:r>
      <w:r w:rsidR="005E7B6D">
        <w:rPr>
          <w:rFonts w:cs="Arial"/>
        </w:rPr>
        <w:t>set out in</w:t>
      </w:r>
      <w:r w:rsidR="00616763" w:rsidRPr="00B92FC7">
        <w:rPr>
          <w:rFonts w:cs="Arial"/>
        </w:rPr>
        <w:t xml:space="preserve"> Appendix 2. It </w:t>
      </w:r>
      <w:r w:rsidRPr="00B92FC7">
        <w:rPr>
          <w:rFonts w:cs="Arial"/>
        </w:rPr>
        <w:t xml:space="preserve">contains a </w:t>
      </w:r>
      <w:r w:rsidR="009E3EAE">
        <w:rPr>
          <w:rFonts w:cs="Arial"/>
        </w:rPr>
        <w:t>f</w:t>
      </w:r>
      <w:r w:rsidR="005E7B6D">
        <w:rPr>
          <w:rFonts w:cs="Arial"/>
        </w:rPr>
        <w:t>ifth</w:t>
      </w:r>
      <w:r w:rsidRPr="00B92FC7">
        <w:rPr>
          <w:rFonts w:cs="Arial"/>
        </w:rPr>
        <w:t xml:space="preserve"> theme of</w:t>
      </w:r>
      <w:r w:rsidR="001B7C97">
        <w:rPr>
          <w:rFonts w:cs="Arial"/>
        </w:rPr>
        <w:t xml:space="preserve"> Customer Insight</w:t>
      </w:r>
      <w:r w:rsidRPr="00B92FC7">
        <w:rPr>
          <w:rFonts w:cs="Arial"/>
        </w:rPr>
        <w:t xml:space="preserve"> which sits above the four themes within the FIS. Its inclusion reflects the intent to a get a better understanding of how financial exclusion affects people, in order to better target support.</w:t>
      </w:r>
    </w:p>
    <w:p w:rsidR="00C10D71" w:rsidRPr="00C10D71" w:rsidRDefault="00C10D71" w:rsidP="00722163">
      <w:pPr>
        <w:ind w:left="567" w:hanging="567"/>
        <w:rPr>
          <w:rFonts w:cs="Arial"/>
        </w:rPr>
      </w:pPr>
    </w:p>
    <w:p w:rsidR="00C10D71" w:rsidRPr="00B92FC7" w:rsidRDefault="00C10D71" w:rsidP="00722163">
      <w:pPr>
        <w:pStyle w:val="ListParagraph"/>
        <w:ind w:left="567" w:hanging="567"/>
        <w:rPr>
          <w:rFonts w:cs="Arial"/>
          <w:b/>
        </w:rPr>
      </w:pPr>
      <w:r w:rsidRPr="00B92FC7">
        <w:rPr>
          <w:rFonts w:cs="Arial"/>
          <w:b/>
        </w:rPr>
        <w:t>Climate change / environmental impact</w:t>
      </w:r>
    </w:p>
    <w:p w:rsidR="00C10D71" w:rsidRPr="00B92FC7" w:rsidRDefault="00C10D71" w:rsidP="00722163">
      <w:pPr>
        <w:pStyle w:val="ListParagraph"/>
        <w:numPr>
          <w:ilvl w:val="0"/>
          <w:numId w:val="2"/>
        </w:numPr>
        <w:ind w:left="567" w:hanging="567"/>
        <w:rPr>
          <w:rFonts w:cs="Arial"/>
        </w:rPr>
      </w:pPr>
      <w:r w:rsidRPr="00B92FC7">
        <w:rPr>
          <w:rFonts w:cs="Arial"/>
        </w:rPr>
        <w:t xml:space="preserve">There </w:t>
      </w:r>
      <w:proofErr w:type="gramStart"/>
      <w:r w:rsidR="00AC5FEE">
        <w:rPr>
          <w:rFonts w:cs="Arial"/>
        </w:rPr>
        <w:t>are</w:t>
      </w:r>
      <w:r w:rsidR="007B18FA">
        <w:rPr>
          <w:rFonts w:cs="Arial"/>
        </w:rPr>
        <w:t xml:space="preserve"> </w:t>
      </w:r>
      <w:r w:rsidRPr="00B92FC7">
        <w:rPr>
          <w:rFonts w:cs="Arial"/>
        </w:rPr>
        <w:t>no negative climate change</w:t>
      </w:r>
      <w:proofErr w:type="gramEnd"/>
      <w:r w:rsidRPr="00B92FC7">
        <w:rPr>
          <w:rFonts w:cs="Arial"/>
        </w:rPr>
        <w:t xml:space="preserve"> or environmental impact issues related to this report. A number of the activities proposed in the </w:t>
      </w:r>
      <w:r w:rsidR="0067491B">
        <w:rPr>
          <w:rFonts w:cs="Arial"/>
        </w:rPr>
        <w:t>FI</w:t>
      </w:r>
      <w:r w:rsidRPr="00B92FC7">
        <w:rPr>
          <w:rFonts w:cs="Arial"/>
        </w:rPr>
        <w:t xml:space="preserve"> Action Plan will lead to reduced carbon footprints for affected properties. Alleviating fuel poverty locally by improving the energy efficiency of homes reduces energy bills for occupants, improves health and contributes to the Council’s carbon reduction target for the whole city </w:t>
      </w:r>
      <w:r w:rsidR="00AC5FEE">
        <w:rPr>
          <w:rFonts w:cs="Arial"/>
        </w:rPr>
        <w:t>(</w:t>
      </w:r>
      <w:r w:rsidRPr="00B92FC7">
        <w:rPr>
          <w:rFonts w:cs="Arial"/>
        </w:rPr>
        <w:t>40% by 2020</w:t>
      </w:r>
      <w:r w:rsidR="00AC5FEE">
        <w:rPr>
          <w:rFonts w:cs="Arial"/>
        </w:rPr>
        <w:t>)</w:t>
      </w:r>
      <w:r w:rsidRPr="00B92FC7">
        <w:rPr>
          <w:rFonts w:cs="Arial"/>
        </w:rPr>
        <w:t xml:space="preserve">. The Council has a duty under the Home Energy Conservation Act to report on plans to help householders lower their fuel bills. </w:t>
      </w:r>
    </w:p>
    <w:p w:rsidR="00C10D71" w:rsidRPr="00C10D71" w:rsidRDefault="00C10D71" w:rsidP="00722163">
      <w:pPr>
        <w:ind w:left="567" w:hanging="567"/>
        <w:rPr>
          <w:rFonts w:cs="Arial"/>
        </w:rPr>
      </w:pPr>
    </w:p>
    <w:p w:rsidR="00C10D71" w:rsidRPr="00B92FC7" w:rsidRDefault="00C10D71" w:rsidP="00722163">
      <w:pPr>
        <w:pStyle w:val="ListParagraph"/>
        <w:ind w:left="567" w:hanging="567"/>
        <w:rPr>
          <w:rFonts w:cs="Arial"/>
          <w:b/>
        </w:rPr>
      </w:pPr>
      <w:r w:rsidRPr="00B92FC7">
        <w:rPr>
          <w:rFonts w:cs="Arial"/>
          <w:b/>
        </w:rPr>
        <w:t>Risk</w:t>
      </w:r>
    </w:p>
    <w:p w:rsidR="00C10D71" w:rsidRPr="00B92FC7" w:rsidRDefault="00C10D71" w:rsidP="00722163">
      <w:pPr>
        <w:pStyle w:val="ListParagraph"/>
        <w:numPr>
          <w:ilvl w:val="0"/>
          <w:numId w:val="2"/>
        </w:numPr>
        <w:ind w:left="567" w:hanging="567"/>
        <w:rPr>
          <w:rFonts w:cs="Arial"/>
        </w:rPr>
      </w:pPr>
      <w:r w:rsidRPr="00B92FC7">
        <w:rPr>
          <w:rFonts w:cs="Arial"/>
        </w:rPr>
        <w:t>A risk assessment can be found at Appendix 3.</w:t>
      </w:r>
    </w:p>
    <w:p w:rsidR="00C10D71" w:rsidRPr="00C10D71" w:rsidRDefault="00C10D71" w:rsidP="00722163">
      <w:pPr>
        <w:ind w:left="567" w:hanging="567"/>
        <w:rPr>
          <w:rFonts w:cs="Arial"/>
        </w:rPr>
      </w:pPr>
    </w:p>
    <w:p w:rsidR="00C10D71" w:rsidRPr="00B92FC7" w:rsidRDefault="00C10D71" w:rsidP="00722163">
      <w:pPr>
        <w:pStyle w:val="ListParagraph"/>
        <w:ind w:left="567" w:hanging="567"/>
        <w:rPr>
          <w:rFonts w:cs="Arial"/>
          <w:b/>
        </w:rPr>
      </w:pPr>
      <w:r w:rsidRPr="00B92FC7">
        <w:rPr>
          <w:rFonts w:cs="Arial"/>
          <w:b/>
        </w:rPr>
        <w:t>Equalities impact</w:t>
      </w:r>
    </w:p>
    <w:p w:rsidR="00C10D71" w:rsidRPr="00B92FC7" w:rsidRDefault="00C10D71" w:rsidP="00722163">
      <w:pPr>
        <w:pStyle w:val="ListParagraph"/>
        <w:numPr>
          <w:ilvl w:val="0"/>
          <w:numId w:val="2"/>
        </w:numPr>
        <w:ind w:left="567" w:hanging="567"/>
        <w:rPr>
          <w:rFonts w:cs="Arial"/>
        </w:rPr>
      </w:pPr>
      <w:r w:rsidRPr="00B92FC7">
        <w:rPr>
          <w:rFonts w:cs="Arial"/>
        </w:rPr>
        <w:t>An initial equalities impact assessment was conducted when the FIS was introduced. As the thematic areas have not changed, this assessment is still valid.</w:t>
      </w:r>
      <w:r w:rsidR="00FA054B">
        <w:rPr>
          <w:rFonts w:cs="Arial"/>
        </w:rPr>
        <w:t xml:space="preserve"> Although a new theme of Customer Insight has </w:t>
      </w:r>
      <w:r w:rsidR="00FA054B">
        <w:rPr>
          <w:rFonts w:cs="Arial"/>
        </w:rPr>
        <w:lastRenderedPageBreak/>
        <w:t>been added. This relates to the internal management of data, rather than having a direct impact on customers.</w:t>
      </w:r>
    </w:p>
    <w:p w:rsidR="00C10D71" w:rsidRPr="00C10D71" w:rsidRDefault="00C10D71" w:rsidP="00722163">
      <w:pPr>
        <w:ind w:left="567" w:hanging="567"/>
        <w:rPr>
          <w:rFonts w:cs="Arial"/>
        </w:rPr>
      </w:pPr>
    </w:p>
    <w:p w:rsidR="00C10D71" w:rsidRPr="00B92FC7" w:rsidRDefault="00C10D71" w:rsidP="00722163">
      <w:pPr>
        <w:pStyle w:val="ListParagraph"/>
        <w:ind w:left="567" w:hanging="567"/>
        <w:rPr>
          <w:rFonts w:cs="Arial"/>
          <w:b/>
        </w:rPr>
      </w:pPr>
      <w:r w:rsidRPr="00B92FC7">
        <w:rPr>
          <w:rFonts w:cs="Arial"/>
          <w:b/>
        </w:rPr>
        <w:t>Financial implications</w:t>
      </w:r>
    </w:p>
    <w:p w:rsidR="00C10D71" w:rsidRPr="00B92FC7" w:rsidRDefault="00C10D71" w:rsidP="00722163">
      <w:pPr>
        <w:pStyle w:val="ListParagraph"/>
        <w:numPr>
          <w:ilvl w:val="0"/>
          <w:numId w:val="2"/>
        </w:numPr>
        <w:ind w:left="567" w:hanging="567"/>
        <w:rPr>
          <w:rFonts w:cs="Arial"/>
        </w:rPr>
      </w:pPr>
      <w:r w:rsidRPr="00B92FC7">
        <w:rPr>
          <w:rFonts w:cs="Arial"/>
        </w:rPr>
        <w:t>This report does not propose any new expenditure. Instead it seeks to align a number of different initiatives to produce greater outcomes.</w:t>
      </w:r>
      <w:r w:rsidR="008661D9">
        <w:rPr>
          <w:rFonts w:cs="Arial"/>
        </w:rPr>
        <w:t xml:space="preserve"> Following the July budget, all capital investment is now subject to review, which may impact on the delivery of some items in the Action Plan.</w:t>
      </w:r>
    </w:p>
    <w:p w:rsidR="007C4038" w:rsidRDefault="007C4038" w:rsidP="00722163">
      <w:pPr>
        <w:pStyle w:val="ListParagraph"/>
        <w:ind w:left="567" w:hanging="567"/>
        <w:rPr>
          <w:rFonts w:cs="Arial"/>
          <w:b/>
        </w:rPr>
      </w:pPr>
    </w:p>
    <w:p w:rsidR="00C10D71" w:rsidRPr="00B92FC7" w:rsidRDefault="00C10D71" w:rsidP="00722163">
      <w:pPr>
        <w:pStyle w:val="ListParagraph"/>
        <w:ind w:left="567" w:hanging="567"/>
        <w:rPr>
          <w:rFonts w:cs="Arial"/>
          <w:b/>
        </w:rPr>
      </w:pPr>
      <w:r w:rsidRPr="00B92FC7">
        <w:rPr>
          <w:rFonts w:cs="Arial"/>
          <w:b/>
        </w:rPr>
        <w:t>Legal implications</w:t>
      </w:r>
    </w:p>
    <w:p w:rsidR="007B6E54" w:rsidRPr="007C4038" w:rsidRDefault="006D6131" w:rsidP="00722163">
      <w:pPr>
        <w:pStyle w:val="ListParagraph"/>
        <w:numPr>
          <w:ilvl w:val="0"/>
          <w:numId w:val="2"/>
        </w:numPr>
        <w:ind w:left="567" w:hanging="567"/>
        <w:rPr>
          <w:rFonts w:cs="Arial"/>
          <w:b/>
        </w:rPr>
      </w:pPr>
      <w:r>
        <w:rPr>
          <w:rFonts w:cs="Arial"/>
        </w:rPr>
        <w:t xml:space="preserve">There are no legal </w:t>
      </w:r>
      <w:r w:rsidR="002B6562">
        <w:rPr>
          <w:rFonts w:cs="Arial"/>
        </w:rPr>
        <w:t>implications</w:t>
      </w:r>
      <w:r w:rsidR="00C10D71" w:rsidRPr="007C4038">
        <w:rPr>
          <w:rFonts w:cs="Arial"/>
        </w:rPr>
        <w:t>.</w:t>
      </w:r>
    </w:p>
    <w:p w:rsidR="007B6E54" w:rsidRDefault="007B6E54">
      <w:pPr>
        <w:rPr>
          <w:rFonts w:cs="Arial"/>
          <w:b/>
        </w:rPr>
      </w:pPr>
    </w:p>
    <w:p w:rsidR="00F4367A" w:rsidRPr="00623C2F" w:rsidRDefault="00F4367A">
      <w:pPr>
        <w:rPr>
          <w:rFonts w:cs="Arial"/>
          <w:i/>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2"/>
      </w:tblGrid>
      <w:tr w:rsidR="00713675">
        <w:tc>
          <w:tcPr>
            <w:tcW w:w="8522" w:type="dxa"/>
          </w:tcPr>
          <w:p w:rsidR="00713675" w:rsidRDefault="00713675" w:rsidP="00855C66">
            <w:pPr>
              <w:tabs>
                <w:tab w:val="left" w:pos="720"/>
                <w:tab w:val="left" w:pos="1440"/>
                <w:tab w:val="left" w:pos="2160"/>
                <w:tab w:val="left" w:pos="2880"/>
              </w:tabs>
            </w:pPr>
            <w:r>
              <w:rPr>
                <w:b/>
                <w:bCs/>
              </w:rPr>
              <w:t>Name and contact details of author:-</w:t>
            </w:r>
          </w:p>
        </w:tc>
      </w:tr>
      <w:tr w:rsidR="00713675">
        <w:tc>
          <w:tcPr>
            <w:tcW w:w="8522" w:type="dxa"/>
          </w:tcPr>
          <w:p w:rsidR="00713675" w:rsidRDefault="00713675" w:rsidP="00855C66">
            <w:pPr>
              <w:tabs>
                <w:tab w:val="left" w:pos="720"/>
                <w:tab w:val="left" w:pos="1440"/>
                <w:tab w:val="left" w:pos="2160"/>
                <w:tab w:val="left" w:pos="2880"/>
              </w:tabs>
            </w:pPr>
            <w:r>
              <w:t>Name</w:t>
            </w:r>
            <w:r w:rsidR="00B92FC7">
              <w:t xml:space="preserve"> Paul Wilding</w:t>
            </w:r>
          </w:p>
        </w:tc>
      </w:tr>
      <w:tr w:rsidR="00713675">
        <w:tc>
          <w:tcPr>
            <w:tcW w:w="8522" w:type="dxa"/>
          </w:tcPr>
          <w:p w:rsidR="00713675" w:rsidRDefault="00713675" w:rsidP="00B92FC7">
            <w:pPr>
              <w:tabs>
                <w:tab w:val="left" w:pos="720"/>
                <w:tab w:val="left" w:pos="1440"/>
                <w:tab w:val="left" w:pos="2160"/>
                <w:tab w:val="left" w:pos="2880"/>
              </w:tabs>
            </w:pPr>
            <w:r>
              <w:t>Job title</w:t>
            </w:r>
            <w:r w:rsidR="00B92FC7">
              <w:t xml:space="preserve"> Revenues &amp; Benefits Programme Manager</w:t>
            </w:r>
          </w:p>
        </w:tc>
      </w:tr>
      <w:tr w:rsidR="00713675">
        <w:tc>
          <w:tcPr>
            <w:tcW w:w="8522" w:type="dxa"/>
          </w:tcPr>
          <w:p w:rsidR="00713675" w:rsidRDefault="00713675" w:rsidP="00855C66">
            <w:pPr>
              <w:tabs>
                <w:tab w:val="left" w:pos="720"/>
                <w:tab w:val="left" w:pos="1440"/>
                <w:tab w:val="left" w:pos="2160"/>
                <w:tab w:val="left" w:pos="2880"/>
              </w:tabs>
            </w:pPr>
            <w:r>
              <w:t>Service Area / Department</w:t>
            </w:r>
            <w:r w:rsidR="00B92FC7">
              <w:t xml:space="preserve"> Welfare Reform Team</w:t>
            </w:r>
          </w:p>
        </w:tc>
      </w:tr>
      <w:tr w:rsidR="00713675">
        <w:tc>
          <w:tcPr>
            <w:tcW w:w="8522" w:type="dxa"/>
          </w:tcPr>
          <w:p w:rsidR="00713675" w:rsidRDefault="00713675" w:rsidP="00B92FC7">
            <w:pPr>
              <w:tabs>
                <w:tab w:val="left" w:pos="720"/>
                <w:tab w:val="left" w:pos="1440"/>
                <w:tab w:val="left" w:pos="2160"/>
                <w:tab w:val="left" w:pos="2880"/>
              </w:tabs>
            </w:pPr>
            <w:r>
              <w:t xml:space="preserve">Tel:  01865 </w:t>
            </w:r>
            <w:r w:rsidR="00B92FC7">
              <w:t>252461</w:t>
            </w:r>
            <w:r>
              <w:t xml:space="preserve"> e-mail:  </w:t>
            </w:r>
            <w:hyperlink r:id="rId10" w:history="1">
              <w:r w:rsidR="00C27759" w:rsidRPr="00291C26">
                <w:rPr>
                  <w:rStyle w:val="Hyperlink"/>
                </w:rPr>
                <w:t>pwilding@oxford.gov.uk</w:t>
              </w:r>
            </w:hyperlink>
          </w:p>
          <w:p w:rsidR="00C27759" w:rsidRDefault="00C27759" w:rsidP="00B92FC7">
            <w:pPr>
              <w:tabs>
                <w:tab w:val="left" w:pos="720"/>
                <w:tab w:val="left" w:pos="1440"/>
                <w:tab w:val="left" w:pos="2160"/>
                <w:tab w:val="left" w:pos="2880"/>
              </w:tabs>
              <w:rPr>
                <w:color w:val="0000FF"/>
                <w:u w:val="single"/>
              </w:rPr>
            </w:pPr>
          </w:p>
        </w:tc>
      </w:tr>
    </w:tbl>
    <w:p w:rsidR="00F4367A" w:rsidRDefault="00F4367A">
      <w:pPr>
        <w:rPr>
          <w:rFonts w:cs="Arial"/>
          <w:b/>
          <w:bCs/>
          <w:sz w:val="20"/>
        </w:rPr>
      </w:pPr>
    </w:p>
    <w:p w:rsidR="00CC1FD9" w:rsidRDefault="00CC1FD9" w:rsidP="00616763">
      <w:pPr>
        <w:rPr>
          <w:rFonts w:eastAsiaTheme="minorHAnsi" w:cs="Arial"/>
          <w:b/>
        </w:rPr>
      </w:pPr>
    </w:p>
    <w:sectPr w:rsidR="00CC1FD9" w:rsidSect="00722163">
      <w:pgSz w:w="11906" w:h="16838"/>
      <w:pgMar w:top="1440" w:right="1800" w:bottom="1440" w:left="1800" w:header="708" w:footer="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562" w:rsidRDefault="002B6562">
      <w:r>
        <w:separator/>
      </w:r>
    </w:p>
  </w:endnote>
  <w:endnote w:type="continuationSeparator" w:id="0">
    <w:p w:rsidR="002B6562" w:rsidRDefault="002B6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562" w:rsidRDefault="002B6562">
      <w:r>
        <w:separator/>
      </w:r>
    </w:p>
  </w:footnote>
  <w:footnote w:type="continuationSeparator" w:id="0">
    <w:p w:rsidR="002B6562" w:rsidRDefault="002B65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37AD2"/>
    <w:multiLevelType w:val="hybridMultilevel"/>
    <w:tmpl w:val="1DE2C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1C585D"/>
    <w:multiLevelType w:val="hybridMultilevel"/>
    <w:tmpl w:val="4C0AA9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61E3DFE"/>
    <w:multiLevelType w:val="hybridMultilevel"/>
    <w:tmpl w:val="FB2A18CC"/>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92"/>
    <w:rsid w:val="00006506"/>
    <w:rsid w:val="00010D8A"/>
    <w:rsid w:val="00012FD7"/>
    <w:rsid w:val="000327F0"/>
    <w:rsid w:val="00056263"/>
    <w:rsid w:val="00066DD5"/>
    <w:rsid w:val="000C3928"/>
    <w:rsid w:val="00104FB2"/>
    <w:rsid w:val="001A636B"/>
    <w:rsid w:val="001B7C97"/>
    <w:rsid w:val="00267717"/>
    <w:rsid w:val="00292A84"/>
    <w:rsid w:val="002B6562"/>
    <w:rsid w:val="002E1757"/>
    <w:rsid w:val="00346419"/>
    <w:rsid w:val="003F7F38"/>
    <w:rsid w:val="00465EAF"/>
    <w:rsid w:val="004828CC"/>
    <w:rsid w:val="0048479F"/>
    <w:rsid w:val="0052634D"/>
    <w:rsid w:val="00544771"/>
    <w:rsid w:val="00595346"/>
    <w:rsid w:val="00597746"/>
    <w:rsid w:val="005E7B6D"/>
    <w:rsid w:val="00616763"/>
    <w:rsid w:val="00616AFC"/>
    <w:rsid w:val="00623C2F"/>
    <w:rsid w:val="0063230F"/>
    <w:rsid w:val="0067491B"/>
    <w:rsid w:val="006C4B3E"/>
    <w:rsid w:val="006D6131"/>
    <w:rsid w:val="006E3B55"/>
    <w:rsid w:val="006E439A"/>
    <w:rsid w:val="006F416B"/>
    <w:rsid w:val="00713675"/>
    <w:rsid w:val="00722163"/>
    <w:rsid w:val="007A4293"/>
    <w:rsid w:val="007B18FA"/>
    <w:rsid w:val="007B6E54"/>
    <w:rsid w:val="007C4038"/>
    <w:rsid w:val="008428B6"/>
    <w:rsid w:val="00855C66"/>
    <w:rsid w:val="008661D9"/>
    <w:rsid w:val="00891D9E"/>
    <w:rsid w:val="00894784"/>
    <w:rsid w:val="008D3DDB"/>
    <w:rsid w:val="00946E26"/>
    <w:rsid w:val="00971689"/>
    <w:rsid w:val="00973E90"/>
    <w:rsid w:val="009B43FA"/>
    <w:rsid w:val="009C420E"/>
    <w:rsid w:val="009E3EAE"/>
    <w:rsid w:val="009E685F"/>
    <w:rsid w:val="00A92D8F"/>
    <w:rsid w:val="00A97AF4"/>
    <w:rsid w:val="00AC5FEE"/>
    <w:rsid w:val="00AC73FB"/>
    <w:rsid w:val="00AD3292"/>
    <w:rsid w:val="00AE5AB8"/>
    <w:rsid w:val="00B733C7"/>
    <w:rsid w:val="00B92FC7"/>
    <w:rsid w:val="00C10D71"/>
    <w:rsid w:val="00C22F50"/>
    <w:rsid w:val="00C2692F"/>
    <w:rsid w:val="00C27244"/>
    <w:rsid w:val="00C27759"/>
    <w:rsid w:val="00C74A2B"/>
    <w:rsid w:val="00CC1FD9"/>
    <w:rsid w:val="00CC3662"/>
    <w:rsid w:val="00CE3E61"/>
    <w:rsid w:val="00D2105A"/>
    <w:rsid w:val="00D546E1"/>
    <w:rsid w:val="00D96203"/>
    <w:rsid w:val="00DB7C10"/>
    <w:rsid w:val="00E01F42"/>
    <w:rsid w:val="00E67D3B"/>
    <w:rsid w:val="00EA0DB1"/>
    <w:rsid w:val="00EA2FDD"/>
    <w:rsid w:val="00EA619F"/>
    <w:rsid w:val="00F4367A"/>
    <w:rsid w:val="00F7606D"/>
    <w:rsid w:val="00F7613A"/>
    <w:rsid w:val="00FA054B"/>
    <w:rsid w:val="00FA624C"/>
    <w:rsid w:val="00FC02DE"/>
    <w:rsid w:val="00FC2CB6"/>
    <w:rsid w:val="00FD3318"/>
    <w:rsid w:val="00FD3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pPr>
      <w:spacing w:before="120" w:after="120"/>
    </w:pPr>
    <w:rPr>
      <w:b/>
      <w:bCs/>
      <w:sz w:val="20"/>
      <w:szCs w:val="20"/>
    </w:rPr>
  </w:style>
  <w:style w:type="character" w:styleId="PageNumber">
    <w:name w:val="page number"/>
    <w:basedOn w:val="DefaultParagraphFont"/>
  </w:style>
  <w:style w:type="character" w:styleId="Hyperlink">
    <w:name w:val="Hyperlink"/>
    <w:rsid w:val="00713675"/>
    <w:rPr>
      <w:color w:val="0000FF"/>
      <w:u w:val="single"/>
    </w:rPr>
  </w:style>
  <w:style w:type="table" w:customStyle="1" w:styleId="TableGrid2">
    <w:name w:val="Table Grid2"/>
    <w:basedOn w:val="TableNormal"/>
    <w:next w:val="TableGrid"/>
    <w:uiPriority w:val="59"/>
    <w:rsid w:val="00616763"/>
    <w:rPr>
      <w:rFonts w:ascii="Arial" w:eastAsiaTheme="minorHAnsi" w:hAnsi="Arial" w:cs="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616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616763"/>
    <w:rPr>
      <w:rFonts w:ascii="Arial" w:eastAsiaTheme="minorHAnsi" w:hAnsi="Arial" w:cs="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2F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pPr>
      <w:spacing w:before="120" w:after="120"/>
    </w:pPr>
    <w:rPr>
      <w:b/>
      <w:bCs/>
      <w:sz w:val="20"/>
      <w:szCs w:val="20"/>
    </w:rPr>
  </w:style>
  <w:style w:type="character" w:styleId="PageNumber">
    <w:name w:val="page number"/>
    <w:basedOn w:val="DefaultParagraphFont"/>
  </w:style>
  <w:style w:type="character" w:styleId="Hyperlink">
    <w:name w:val="Hyperlink"/>
    <w:rsid w:val="00713675"/>
    <w:rPr>
      <w:color w:val="0000FF"/>
      <w:u w:val="single"/>
    </w:rPr>
  </w:style>
  <w:style w:type="table" w:customStyle="1" w:styleId="TableGrid2">
    <w:name w:val="Table Grid2"/>
    <w:basedOn w:val="TableNormal"/>
    <w:next w:val="TableGrid"/>
    <w:uiPriority w:val="59"/>
    <w:rsid w:val="00616763"/>
    <w:rPr>
      <w:rFonts w:ascii="Arial" w:eastAsiaTheme="minorHAnsi" w:hAnsi="Arial" w:cs="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616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616763"/>
    <w:rPr>
      <w:rFonts w:ascii="Arial" w:eastAsiaTheme="minorHAnsi" w:hAnsi="Arial" w:cs="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2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wilding@oxford.gov.uk" TargetMode="Externa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C57A0535</Template>
  <TotalTime>6</TotalTime>
  <Pages>3</Pages>
  <Words>717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Phythian, Catherine - Oxford City Council</cp:lastModifiedBy>
  <cp:revision>5</cp:revision>
  <cp:lastPrinted>2010-10-15T09:32:00Z</cp:lastPrinted>
  <dcterms:created xsi:type="dcterms:W3CDTF">2015-09-21T07:10:00Z</dcterms:created>
  <dcterms:modified xsi:type="dcterms:W3CDTF">2015-10-02T08:53:00Z</dcterms:modified>
</cp:coreProperties>
</file>